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E0" w:rsidRPr="008717D6" w:rsidRDefault="005C64E0" w:rsidP="005C64E0">
      <w:pPr>
        <w:ind w:left="709"/>
        <w:rPr>
          <w:rFonts w:ascii="XO Thames" w:hAnsi="XO Thames"/>
          <w:b/>
          <w:sz w:val="24"/>
          <w:szCs w:val="24"/>
        </w:rPr>
      </w:pPr>
      <w:r w:rsidRPr="008717D6">
        <w:rPr>
          <w:rFonts w:ascii="XO Thames" w:hAnsi="XO Thames"/>
          <w:b/>
          <w:sz w:val="24"/>
          <w:szCs w:val="24"/>
        </w:rPr>
        <w:t>РАЗДЕЛ III. СИСТЕМА ВНУТРЕННЕГО МОНИТОРИНГА</w:t>
      </w:r>
    </w:p>
    <w:p w:rsidR="005C64E0" w:rsidRPr="008717D6" w:rsidRDefault="005C64E0" w:rsidP="005C64E0">
      <w:pPr>
        <w:ind w:left="709"/>
        <w:rPr>
          <w:rFonts w:ascii="XO Thames" w:hAnsi="XO Thames"/>
          <w:sz w:val="24"/>
          <w:szCs w:val="24"/>
        </w:rPr>
      </w:pPr>
    </w:p>
    <w:p w:rsidR="005C64E0" w:rsidRPr="008717D6" w:rsidRDefault="005C64E0" w:rsidP="005C64E0">
      <w:pPr>
        <w:ind w:left="709"/>
        <w:rPr>
          <w:rFonts w:ascii="XO Thames" w:hAnsi="XO Thames"/>
          <w:b/>
          <w:bCs/>
          <w:sz w:val="24"/>
          <w:szCs w:val="24"/>
        </w:rPr>
      </w:pPr>
      <w:r w:rsidRPr="008717D6">
        <w:rPr>
          <w:rFonts w:ascii="XO Thames" w:hAnsi="XO Thames"/>
          <w:b/>
          <w:bCs/>
          <w:sz w:val="24"/>
          <w:szCs w:val="24"/>
        </w:rPr>
        <w:t xml:space="preserve">3.1 Критерии эффективности реализации </w:t>
      </w:r>
      <w:r>
        <w:rPr>
          <w:rFonts w:ascii="XO Thames" w:hAnsi="XO Thames"/>
          <w:b/>
          <w:bCs/>
          <w:sz w:val="24"/>
          <w:szCs w:val="24"/>
        </w:rPr>
        <w:t xml:space="preserve">годового </w:t>
      </w:r>
      <w:bookmarkStart w:id="0" w:name="_GoBack"/>
      <w:bookmarkEnd w:id="0"/>
      <w:r w:rsidRPr="008717D6">
        <w:rPr>
          <w:rFonts w:ascii="XO Thames" w:hAnsi="XO Thames"/>
          <w:b/>
          <w:bCs/>
          <w:sz w:val="24"/>
          <w:szCs w:val="24"/>
        </w:rPr>
        <w:t xml:space="preserve">плана </w:t>
      </w:r>
      <w:r>
        <w:rPr>
          <w:rFonts w:ascii="XO Thames" w:hAnsi="XO Thames"/>
          <w:b/>
          <w:bCs/>
          <w:sz w:val="24"/>
          <w:szCs w:val="24"/>
        </w:rPr>
        <w:t>з</w:t>
      </w:r>
      <w:r w:rsidRPr="008717D6">
        <w:rPr>
          <w:rFonts w:ascii="XO Thames" w:hAnsi="XO Thames"/>
          <w:b/>
          <w:bCs/>
          <w:sz w:val="24"/>
          <w:szCs w:val="24"/>
        </w:rPr>
        <w:t>а 2022-2023 учебный год</w:t>
      </w:r>
    </w:p>
    <w:p w:rsidR="005C64E0" w:rsidRPr="008717D6" w:rsidRDefault="005C64E0" w:rsidP="005C64E0">
      <w:pPr>
        <w:pStyle w:val="a7"/>
        <w:numPr>
          <w:ilvl w:val="0"/>
          <w:numId w:val="1"/>
        </w:numPr>
        <w:suppressAutoHyphens/>
        <w:ind w:left="709"/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sz w:val="24"/>
          <w:szCs w:val="24"/>
        </w:rPr>
        <w:t>Достижение целей (объем выполнения программных целей).</w:t>
      </w:r>
    </w:p>
    <w:p w:rsidR="005C64E0" w:rsidRPr="008717D6" w:rsidRDefault="005C64E0" w:rsidP="005C64E0">
      <w:pPr>
        <w:pStyle w:val="a7"/>
        <w:numPr>
          <w:ilvl w:val="0"/>
          <w:numId w:val="1"/>
        </w:numPr>
        <w:suppressAutoHyphens/>
        <w:ind w:left="709"/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sz w:val="24"/>
          <w:szCs w:val="24"/>
        </w:rPr>
        <w:t>Выполнение ресурсного плана (объем освоения ресурсов).</w:t>
      </w:r>
    </w:p>
    <w:p w:rsidR="005C64E0" w:rsidRPr="008717D6" w:rsidRDefault="005C64E0" w:rsidP="005C64E0">
      <w:pPr>
        <w:pStyle w:val="a7"/>
        <w:numPr>
          <w:ilvl w:val="0"/>
          <w:numId w:val="1"/>
        </w:numPr>
        <w:suppressAutoHyphens/>
        <w:ind w:left="709"/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sz w:val="24"/>
          <w:szCs w:val="24"/>
        </w:rPr>
        <w:t>Результативность в отношении рисков и возможностей.</w:t>
      </w:r>
    </w:p>
    <w:p w:rsidR="005C64E0" w:rsidRPr="008717D6" w:rsidRDefault="005C64E0" w:rsidP="005C64E0">
      <w:pPr>
        <w:pStyle w:val="a7"/>
        <w:numPr>
          <w:ilvl w:val="0"/>
          <w:numId w:val="1"/>
        </w:numPr>
        <w:suppressAutoHyphens/>
        <w:ind w:left="709"/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sz w:val="24"/>
          <w:szCs w:val="24"/>
        </w:rPr>
        <w:t>Уровень адаптивности к изменениям внешних и внутренних факторов.</w:t>
      </w:r>
    </w:p>
    <w:p w:rsidR="005C64E0" w:rsidRPr="008717D6" w:rsidRDefault="005C64E0" w:rsidP="005C64E0">
      <w:pPr>
        <w:pStyle w:val="a7"/>
        <w:numPr>
          <w:ilvl w:val="0"/>
          <w:numId w:val="1"/>
        </w:numPr>
        <w:suppressAutoHyphens/>
        <w:ind w:left="709"/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sz w:val="24"/>
          <w:szCs w:val="24"/>
        </w:rPr>
        <w:t>Уровень вовлеченности заинтересованных сторон в реализации программы развития образовательной организации.</w:t>
      </w:r>
    </w:p>
    <w:p w:rsidR="005C64E0" w:rsidRPr="009C7CD3" w:rsidRDefault="005C64E0" w:rsidP="005C64E0">
      <w:pPr>
        <w:pStyle w:val="a7"/>
        <w:numPr>
          <w:ilvl w:val="0"/>
          <w:numId w:val="1"/>
        </w:numPr>
        <w:suppressAutoHyphens/>
        <w:ind w:left="709"/>
        <w:rPr>
          <w:rFonts w:ascii="XO Thames" w:hAnsi="XO Thames"/>
          <w:b/>
          <w:sz w:val="24"/>
          <w:szCs w:val="24"/>
        </w:rPr>
      </w:pPr>
      <w:r w:rsidRPr="009C7CD3">
        <w:rPr>
          <w:rFonts w:ascii="XO Thames" w:hAnsi="XO Thames"/>
          <w:sz w:val="24"/>
          <w:szCs w:val="24"/>
        </w:rPr>
        <w:t>Уровень удовлетворенности заинтересованных сторон ходом/результатами реализации программы развития образовательной организации.</w:t>
      </w:r>
    </w:p>
    <w:p w:rsidR="005C64E0" w:rsidRPr="008717D6" w:rsidRDefault="005C64E0" w:rsidP="005C64E0">
      <w:pPr>
        <w:ind w:left="709"/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b/>
          <w:sz w:val="24"/>
          <w:szCs w:val="24"/>
        </w:rPr>
        <w:t>3.2. Контроль за организацией образовательного процесса</w:t>
      </w:r>
    </w:p>
    <w:p w:rsidR="005C64E0" w:rsidRPr="008717D6" w:rsidRDefault="005C64E0" w:rsidP="005C64E0">
      <w:pPr>
        <w:rPr>
          <w:rFonts w:ascii="XO Thames" w:hAnsi="XO Thames"/>
          <w:sz w:val="24"/>
          <w:szCs w:val="24"/>
        </w:rPr>
      </w:pPr>
    </w:p>
    <w:tbl>
      <w:tblPr>
        <w:tblW w:w="1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3675"/>
        <w:gridCol w:w="4992"/>
      </w:tblGrid>
      <w:tr w:rsidR="005C64E0" w:rsidRPr="008717D6" w:rsidTr="009A350B">
        <w:tc>
          <w:tcPr>
            <w:tcW w:w="5390" w:type="dxa"/>
          </w:tcPr>
          <w:p w:rsidR="005C64E0" w:rsidRPr="008717D6" w:rsidRDefault="005C64E0" w:rsidP="009A350B">
            <w:pPr>
              <w:jc w:val="center"/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 xml:space="preserve">Срок и форма работы </w:t>
            </w:r>
          </w:p>
        </w:tc>
        <w:tc>
          <w:tcPr>
            <w:tcW w:w="3675" w:type="dxa"/>
          </w:tcPr>
          <w:p w:rsidR="005C64E0" w:rsidRPr="008717D6" w:rsidRDefault="005C64E0" w:rsidP="009A350B">
            <w:pPr>
              <w:jc w:val="center"/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92" w:type="dxa"/>
          </w:tcPr>
          <w:p w:rsidR="005C64E0" w:rsidRPr="008717D6" w:rsidRDefault="005C64E0" w:rsidP="009A350B">
            <w:pPr>
              <w:jc w:val="center"/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5C64E0" w:rsidRPr="008717D6" w:rsidTr="009A350B">
        <w:tc>
          <w:tcPr>
            <w:tcW w:w="539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Педагогическая диагностика: октябрь/май (итоговый контроль)</w:t>
            </w:r>
          </w:p>
        </w:tc>
        <w:tc>
          <w:tcPr>
            <w:tcW w:w="367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Анализ освоения ОП</w:t>
            </w:r>
          </w:p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Диагностические карты</w:t>
            </w:r>
          </w:p>
        </w:tc>
      </w:tr>
      <w:tr w:rsidR="005C64E0" w:rsidRPr="008717D6" w:rsidTr="009A350B">
        <w:tc>
          <w:tcPr>
            <w:tcW w:w="539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 xml:space="preserve">Контроль за течением адаптационного периода: сентябрь </w:t>
            </w:r>
          </w:p>
        </w:tc>
        <w:tc>
          <w:tcPr>
            <w:tcW w:w="367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 xml:space="preserve">Адаптация </w:t>
            </w:r>
          </w:p>
        </w:tc>
        <w:tc>
          <w:tcPr>
            <w:tcW w:w="4992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 xml:space="preserve">Адаптационные листы, </w:t>
            </w:r>
          </w:p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справка по результатам</w:t>
            </w:r>
          </w:p>
        </w:tc>
      </w:tr>
      <w:tr w:rsidR="005C64E0" w:rsidRPr="008717D6" w:rsidTr="009A350B">
        <w:tc>
          <w:tcPr>
            <w:tcW w:w="539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Анализ квалификации педагогов</w:t>
            </w:r>
          </w:p>
        </w:tc>
        <w:tc>
          <w:tcPr>
            <w:tcW w:w="367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Образование, стаж, аттестация, курсы, достижения</w:t>
            </w:r>
          </w:p>
        </w:tc>
        <w:tc>
          <w:tcPr>
            <w:tcW w:w="4992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 xml:space="preserve">Индивидуальные папки педагогов, годовой план, </w:t>
            </w:r>
          </w:p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отчет о самообследования</w:t>
            </w:r>
          </w:p>
        </w:tc>
      </w:tr>
      <w:tr w:rsidR="005C64E0" w:rsidRPr="008717D6" w:rsidTr="009A350B">
        <w:tc>
          <w:tcPr>
            <w:tcW w:w="539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Тематический контроль - апрель</w:t>
            </w:r>
          </w:p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Взаимодействие детского сада и семьи в едином пространстве ДОО</w:t>
            </w:r>
          </w:p>
        </w:tc>
        <w:tc>
          <w:tcPr>
            <w:tcW w:w="4992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справка по результатам</w:t>
            </w:r>
          </w:p>
        </w:tc>
      </w:tr>
    </w:tbl>
    <w:p w:rsidR="005C64E0" w:rsidRPr="008717D6" w:rsidRDefault="005C64E0" w:rsidP="005C64E0">
      <w:pPr>
        <w:rPr>
          <w:rFonts w:ascii="XO Thames" w:hAnsi="XO Thames"/>
          <w:sz w:val="24"/>
          <w:szCs w:val="24"/>
        </w:rPr>
      </w:pPr>
    </w:p>
    <w:p w:rsidR="005C64E0" w:rsidRPr="008717D6" w:rsidRDefault="005C64E0" w:rsidP="005C64E0">
      <w:pPr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b/>
          <w:sz w:val="24"/>
          <w:szCs w:val="24"/>
        </w:rPr>
        <w:t xml:space="preserve">3.3. Циклограмма проведения оперативного контроля </w:t>
      </w:r>
    </w:p>
    <w:p w:rsidR="005C64E0" w:rsidRPr="008717D6" w:rsidRDefault="005C64E0" w:rsidP="005C64E0">
      <w:pPr>
        <w:rPr>
          <w:rFonts w:ascii="XO Thames" w:hAnsi="XO Thames"/>
          <w:sz w:val="24"/>
          <w:szCs w:val="24"/>
        </w:rPr>
      </w:pPr>
      <w:r w:rsidRPr="008717D6">
        <w:rPr>
          <w:rFonts w:ascii="XO Thames" w:hAnsi="XO Thames"/>
          <w:sz w:val="24"/>
          <w:szCs w:val="24"/>
        </w:rPr>
        <w:t>Контроль ведется в журнале с указанием срока исправления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0"/>
        <w:gridCol w:w="606"/>
        <w:gridCol w:w="574"/>
        <w:gridCol w:w="528"/>
        <w:gridCol w:w="644"/>
        <w:gridCol w:w="529"/>
        <w:gridCol w:w="439"/>
        <w:gridCol w:w="543"/>
        <w:gridCol w:w="525"/>
        <w:gridCol w:w="734"/>
      </w:tblGrid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</w:rPr>
              <w:t>Вопросы контроля</w:t>
            </w:r>
          </w:p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Охрана жизни и здоровья обучающихся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Выполнение режима дня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Организация совместной деятельности по воспитанию КГН и КП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lastRenderedPageBreak/>
              <w:t>Организация режимного момента (умывание)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Проведение закаливающих мероприятий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Подготовки воспитателя к занятиям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Планирование образовательной работы с детьми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Планирование и организация итоговых мероприятий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«Физическое развитие» (ЗОЖ)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«Социально-коммуникативное развитие» (нормы и ценности/общение/самостоятельность)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«Социально-коммуникативное развитие» (формирование позитивных установок к различным видам труда и творчества)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«Социально-коммуникативное развитие»</w:t>
            </w:r>
          </w:p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(формирование основ безопасного поведения)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«Речевое развитие» (знакомство с детской литературой)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образовательной области «Речевое развитие»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«Познавательное развитие» (сенсорика)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 (конструирование)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«Познавательное развитие» (уголок природы)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образ. области «Познавательное развитие» (математика)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lastRenderedPageBreak/>
              <w:t>Материалы и оборудование для реализации образовательной области «Художественно-эстетическое развитие» (муз. центр для самостоятельной деятельности)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 (ИЗО)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Оформление информационного уголка для родителей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</w:p>
        </w:tc>
      </w:tr>
      <w:tr w:rsidR="005C64E0" w:rsidRPr="008717D6" w:rsidTr="009A350B">
        <w:tc>
          <w:tcPr>
            <w:tcW w:w="8880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606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7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5C64E0" w:rsidRPr="008717D6" w:rsidRDefault="005C64E0" w:rsidP="009A350B">
            <w:pPr>
              <w:rPr>
                <w:rFonts w:ascii="XO Thames" w:eastAsiaTheme="majorEastAsia" w:hAnsi="XO Thames" w:cstheme="majorBidi"/>
                <w:color w:val="000000"/>
                <w:sz w:val="24"/>
                <w:szCs w:val="24"/>
              </w:rPr>
            </w:pPr>
            <w:r w:rsidRPr="008717D6">
              <w:rPr>
                <w:rFonts w:ascii="XO Thames" w:eastAsiaTheme="majorEastAsia" w:hAnsi="XO Thames" w:cstheme="majorBidi"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996C71" w:rsidRPr="005C64E0" w:rsidRDefault="00B52674" w:rsidP="005C64E0"/>
    <w:sectPr w:rsidR="00996C71" w:rsidRPr="005C64E0" w:rsidSect="00CE3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74" w:rsidRDefault="00B52674" w:rsidP="00CE3922">
      <w:r>
        <w:separator/>
      </w:r>
    </w:p>
  </w:endnote>
  <w:endnote w:type="continuationSeparator" w:id="0">
    <w:p w:rsidR="00B52674" w:rsidRDefault="00B52674" w:rsidP="00C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2" w:rsidRDefault="00CE3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2" w:rsidRDefault="00CE3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2" w:rsidRDefault="00CE3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74" w:rsidRDefault="00B52674" w:rsidP="00CE3922">
      <w:r>
        <w:separator/>
      </w:r>
    </w:p>
  </w:footnote>
  <w:footnote w:type="continuationSeparator" w:id="0">
    <w:p w:rsidR="00B52674" w:rsidRDefault="00B52674" w:rsidP="00CE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2" w:rsidRDefault="00CE3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2" w:rsidRPr="00CE3922" w:rsidRDefault="00CE3922" w:rsidP="00CE3922">
    <w:pPr>
      <w:pStyle w:val="a3"/>
      <w:jc w:val="center"/>
      <w:rPr>
        <w:b/>
        <w:i/>
        <w:sz w:val="24"/>
        <w:szCs w:val="24"/>
      </w:rPr>
    </w:pPr>
    <w:r w:rsidRPr="00CE3922">
      <w:rPr>
        <w:b/>
        <w:i/>
        <w:sz w:val="24"/>
        <w:szCs w:val="24"/>
      </w:rPr>
      <w:t xml:space="preserve">Система контроля образовательной и воспитательной работы в 2022-2023 учебном году </w:t>
    </w:r>
    <w:r w:rsidRPr="00CE3922">
      <w:rPr>
        <w:b/>
        <w:i/>
        <w:sz w:val="24"/>
        <w:szCs w:val="24"/>
      </w:rPr>
      <w:br/>
      <w:t>(раздел годового плана на 2022-2023 учебный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22" w:rsidRDefault="00CE3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291"/>
    <w:multiLevelType w:val="multilevel"/>
    <w:tmpl w:val="926482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22"/>
    <w:rsid w:val="005C64E0"/>
    <w:rsid w:val="006215A1"/>
    <w:rsid w:val="00A65943"/>
    <w:rsid w:val="00B52674"/>
    <w:rsid w:val="00CE3922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74A0-3971-4CB3-890E-F27C7F4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2022-09-05T19:02:00Z</dcterms:created>
  <dcterms:modified xsi:type="dcterms:W3CDTF">2022-09-05T19:11:00Z</dcterms:modified>
</cp:coreProperties>
</file>